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jc w:val="right"/>
        <w:rPr>
          <w:rFonts w:ascii="Times New Roman" w:hAnsi="Times New Roman" w:cs="Times New Roman"/>
          <w:sz w:val="24"/>
          <w:szCs w:val="24"/>
        </w:rPr>
      </w:pPr>
      <w:r>
        <w:rPr>
          <w:rFonts w:ascii="Times New Roman" w:hAnsi="Times New Roman" w:cs="Times New Roman"/>
          <w:sz w:val="24"/>
          <w:szCs w:val="24"/>
        </w:rPr>
        <w:t>Приложение 11</w:t>
      </w:r>
    </w:p>
    <w:p>
      <w:pPr>
        <w:spacing w:after="0"/>
        <w:jc w:val="center"/>
        <w:rPr>
          <w:rFonts w:ascii="Times New Roman" w:hAnsi="Times New Roman" w:cs="Times New Roman"/>
          <w:sz w:val="24"/>
          <w:szCs w:val="24"/>
        </w:rPr>
      </w:pPr>
    </w:p>
    <w:p>
      <w:pPr>
        <w:spacing w:after="0"/>
        <w:jc w:val="center"/>
        <w:rPr>
          <w:rFonts w:ascii="Times New Roman" w:hAnsi="Times New Roman" w:cs="Times New Roman"/>
          <w:sz w:val="24"/>
          <w:szCs w:val="24"/>
        </w:rPr>
      </w:pPr>
      <w:r>
        <w:rPr>
          <w:rFonts w:ascii="Times New Roman" w:hAnsi="Times New Roman" w:cs="Times New Roman"/>
          <w:sz w:val="24"/>
          <w:szCs w:val="24"/>
        </w:rPr>
        <w:t>ПОЯСНИТЕЛЬНАЯ ЗАПИСКА</w:t>
      </w:r>
    </w:p>
    <w:p>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реализации муниципальной программы </w:t>
      </w:r>
    </w:p>
    <w:p>
      <w:pPr>
        <w:spacing w:after="0" w:line="240" w:lineRule="auto"/>
        <w:jc w:val="center"/>
        <w:rPr>
          <w:rFonts w:ascii="Times New Roman" w:hAnsi="Times New Roman"/>
          <w:color w:val="000000" w:themeColor="text1"/>
          <w:sz w:val="24"/>
          <w:szCs w:val="24"/>
        </w:rPr>
      </w:pPr>
      <w:r>
        <w:rPr>
          <w:rFonts w:ascii="Times New Roman" w:hAnsi="Times New Roman" w:cs="Times New Roman"/>
          <w:sz w:val="24"/>
          <w:szCs w:val="24"/>
        </w:rPr>
        <w:t>«</w:t>
      </w:r>
      <w:r>
        <w:rPr>
          <w:rFonts w:ascii="Times New Roman" w:hAnsi="Times New Roman"/>
          <w:color w:val="000000" w:themeColor="text1"/>
          <w:sz w:val="24"/>
          <w:szCs w:val="24"/>
        </w:rPr>
        <w:t>Эффективное управление муниципальными финансами ЗАТО Северск» на 2021 - 2024 годы за 2024 год</w:t>
      </w:r>
    </w:p>
    <w:p>
      <w:pPr>
        <w:spacing w:after="0" w:line="240" w:lineRule="auto"/>
        <w:jc w:val="center"/>
        <w:rPr>
          <w:rFonts w:ascii="Times New Roman" w:hAnsi="Times New Roman"/>
          <w:color w:val="000000" w:themeColor="text1"/>
          <w:sz w:val="24"/>
          <w:szCs w:val="24"/>
        </w:rPr>
      </w:pPr>
    </w:p>
    <w:p>
      <w:pPr>
        <w:pStyle w:val="a3"/>
        <w:tabs>
          <w:tab w:val="left" w:pos="567"/>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 отчетный период реализации муниципальной программы</w:t>
      </w:r>
      <w:r>
        <w:rPr>
          <w:rFonts w:ascii="Times New Roman CYR" w:eastAsia="Times New Roman" w:hAnsi="Times New Roman CYR" w:cs="Times New Roman"/>
          <w:sz w:val="24"/>
          <w:szCs w:val="24"/>
        </w:rPr>
        <w:t xml:space="preserve"> </w:t>
      </w:r>
      <w:r>
        <w:rPr>
          <w:rFonts w:ascii="Times New Roman" w:eastAsia="Times New Roman" w:hAnsi="Times New Roman" w:cs="Times New Roman"/>
          <w:sz w:val="24"/>
          <w:szCs w:val="24"/>
        </w:rPr>
        <w:t>«Эффективное управление муниципальными финансами ЗАТО Северск» на 2021 - 2024 годы (далее – </w:t>
      </w:r>
      <w:r>
        <w:rPr>
          <w:rFonts w:ascii="Times New Roman" w:eastAsia="Times New Roman" w:hAnsi="Times New Roman" w:cs="Times New Roman"/>
          <w:sz w:val="24"/>
          <w:szCs w:val="24"/>
        </w:rPr>
        <w:t>П</w:t>
      </w:r>
      <w:r>
        <w:rPr>
          <w:rFonts w:ascii="Times New Roman" w:eastAsia="Times New Roman" w:hAnsi="Times New Roman" w:cs="Times New Roman"/>
          <w:sz w:val="24"/>
          <w:szCs w:val="24"/>
        </w:rPr>
        <w:t xml:space="preserve">рограмма) </w:t>
      </w:r>
      <w:r>
        <w:rPr>
          <w:rFonts w:ascii="Times New Roman" w:hAnsi="Times New Roman" w:cs="Times New Roman"/>
          <w:color w:val="000000" w:themeColor="text1"/>
          <w:sz w:val="24"/>
          <w:szCs w:val="24"/>
        </w:rPr>
        <w:t xml:space="preserve">Финансовым управлением, как ответственным исполнителем, проводились мероприятия </w:t>
      </w:r>
      <w:r>
        <w:rPr>
          <w:rFonts w:ascii="Times New Roman" w:hAnsi="Times New Roman" w:cs="Times New Roman"/>
          <w:color w:val="000000" w:themeColor="text1"/>
          <w:sz w:val="24"/>
          <w:szCs w:val="24"/>
        </w:rPr>
        <w:br/>
        <w:t xml:space="preserve">по достижению цели Программы - обеспечению сбалансированности и устойчивости бюджета ЗАТО Северск, повышению качества управления муниципальными финансами, а также </w:t>
      </w:r>
      <w:r>
        <w:rPr>
          <w:rFonts w:ascii="Times New Roman" w:hAnsi="Times New Roman" w:cs="Times New Roman"/>
          <w:color w:val="000000" w:themeColor="text1"/>
          <w:sz w:val="24"/>
          <w:szCs w:val="24"/>
        </w:rPr>
        <w:br/>
        <w:t>по решению следующих задач:</w:t>
      </w:r>
    </w:p>
    <w:p>
      <w:pPr>
        <w:pStyle w:val="a3"/>
        <w:tabs>
          <w:tab w:val="left" w:pos="0"/>
          <w:tab w:val="left" w:pos="567"/>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обеспечению эффективного управления средствами бюджета ЗАТО Северск на уровне участников бюджетного процесса;</w:t>
      </w:r>
    </w:p>
    <w:p>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обеспечению сбалансированности и недопущения превышения ограничений по размеру муниципального долга бюджета ЗАТО Северск.</w:t>
      </w:r>
    </w:p>
    <w:p>
      <w:pPr>
        <w:tabs>
          <w:tab w:val="left" w:pos="567"/>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Каждая из указанных задач реализовывалась в рамках утвержденных подпрограмм и соответствующих комплексов процессных мероприятий (далее – КПМ).</w:t>
      </w:r>
    </w:p>
    <w:p>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Также Финансовым управлением обеспечено качественное исполнение задач      в рамках реализации обеспечивающей подпрограммы в части соблюдения бюджетного законодательства, обеспечения исполнения бюджетных обязательств, планирования, ведения бюджетного учета, составления отчетности, формирования бюджетной отчетности </w:t>
      </w:r>
      <w:r>
        <w:rPr>
          <w:rFonts w:ascii="Times New Roman" w:hAnsi="Times New Roman" w:cs="Times New Roman"/>
          <w:sz w:val="24"/>
          <w:szCs w:val="24"/>
        </w:rPr>
        <w:br/>
        <w:t>и исполнения бюджета.</w:t>
      </w:r>
    </w:p>
    <w:p>
      <w:pPr>
        <w:tabs>
          <w:tab w:val="left" w:pos="709"/>
        </w:tabs>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2024 год по Программе предусмотрено бюджетных ассигнований в объеме </w:t>
      </w:r>
      <w:r>
        <w:rPr>
          <w:rFonts w:ascii="Times New Roman" w:eastAsia="Times New Roman" w:hAnsi="Times New Roman" w:cs="Times New Roman"/>
          <w:sz w:val="24"/>
          <w:szCs w:val="24"/>
        </w:rPr>
        <w:br/>
        <w:t xml:space="preserve">63 313,38 тыс. руб. Реализовано мероприятий на сумму 62 885,72 тыс. руб., что составило 99% от плановых назначений. Цель Программы достигнута в полном объеме. </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Оценка результатов реализации мер правового регулирования в сфере реализации Программы отражена в приложении 10. </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Перечень документов о внесении изменений в Программу указан приложении 8.</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рамках подпрограммы 1 «Повышение эффективности управления муниципальными финансами» </w:t>
      </w:r>
      <w:bookmarkStart w:id="0" w:name="_Hlk190960217"/>
      <w:r>
        <w:rPr>
          <w:rFonts w:ascii="Times New Roman" w:eastAsia="Times New Roman" w:hAnsi="Times New Roman" w:cs="Times New Roman"/>
          <w:sz w:val="24"/>
          <w:szCs w:val="24"/>
        </w:rPr>
        <w:t>реализовывались задачи подпрограммы:</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повышение качества финансового менеджмента главных администраторов средств бюджета ЗАТО Северск;</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совершенствование информационно-технического сопровождения бюджетного процесса на территории ЗАТО Северск.</w:t>
      </w:r>
    </w:p>
    <w:p>
      <w:pPr>
        <w:spacing w:after="0" w:line="240" w:lineRule="auto"/>
        <w:ind w:firstLine="709"/>
        <w:jc w:val="both"/>
        <w:rPr>
          <w:rFonts w:ascii="Times New Roman" w:eastAsia="Times New Roman" w:hAnsi="Times New Roman" w:cs="Times New Roman"/>
          <w:sz w:val="24"/>
          <w:szCs w:val="24"/>
        </w:rPr>
      </w:pPr>
      <w:bookmarkStart w:id="1" w:name="_Hlk190960260"/>
      <w:bookmarkEnd w:id="0"/>
      <w:r>
        <w:rPr>
          <w:rFonts w:ascii="Times New Roman" w:eastAsia="Times New Roman" w:hAnsi="Times New Roman" w:cs="Times New Roman"/>
          <w:sz w:val="24"/>
          <w:szCs w:val="24"/>
        </w:rPr>
        <w:t xml:space="preserve">Результативность достижения целевых показателей подпрограммы высокая. Значения целевых показателей (индикаторов) результативности подпрограммы указаны </w:t>
      </w:r>
      <w:r>
        <w:rPr>
          <w:rFonts w:ascii="Times New Roman" w:eastAsia="Times New Roman" w:hAnsi="Times New Roman" w:cs="Times New Roman"/>
          <w:sz w:val="24"/>
          <w:szCs w:val="24"/>
        </w:rPr>
        <w:br/>
        <w:t xml:space="preserve">в </w:t>
      </w:r>
      <w:r>
        <w:rPr>
          <w:rFonts w:ascii="Times New Roman" w:eastAsia="Times New Roman" w:hAnsi="Times New Roman" w:cs="Times New Roman"/>
          <w:sz w:val="24"/>
          <w:szCs w:val="24"/>
          <w:shd w:val="clear" w:color="auto" w:fill="FFFFFF"/>
        </w:rPr>
        <w:t>приложении 6.</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Фактические расходы на выполнение мероприятий подпрограммы соответствуют плановым и составили 705,55 тыс. руб. Освоение средств – 100 %. </w:t>
      </w:r>
    </w:p>
    <w:bookmarkEnd w:id="1"/>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Мероприятия проводились в рамках двух КПМ:</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Повышение качества финансового менеджмента главных администраторов средств бюджета ЗАТО Северск. Мероприятие выполнено без финансирования. Бюджетные ассигнования уменьшены на 2024 год на сумму 350,0 тыс. руб. в связи с распределением поощрения по главным администраторам средств бюджета, достигших наилучших результатов в организации финансового менеджмента в соответствии с проведенной оценкой качества финансового менеджмента ГАБС;</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Совершенствование информационно-технического сопровождения бюджетного процесса на территории ЗАТО Северск. Фактические расходы на выполнение мероприятия соответствуют плановым и составили 705,55 тыс. руб. Освоение средств – 100 %.</w:t>
      </w:r>
    </w:p>
    <w:p>
      <w:pPr>
        <w:spacing w:after="0" w:line="240" w:lineRule="auto"/>
        <w:ind w:firstLine="720"/>
        <w:jc w:val="both"/>
        <w:rPr>
          <w:rFonts w:ascii="Times New Roman" w:eastAsia="Times New Roman" w:hAnsi="Times New Roman" w:cs="Times New Roman"/>
          <w:sz w:val="24"/>
          <w:szCs w:val="24"/>
        </w:rPr>
      </w:pPr>
    </w:p>
    <w:p>
      <w:pPr>
        <w:autoSpaceDE w:val="0"/>
        <w:autoSpaceDN w:val="0"/>
        <w:adjustRightInd w:val="0"/>
        <w:spacing w:after="0" w:line="240" w:lineRule="auto"/>
        <w:ind w:firstLine="708"/>
        <w:jc w:val="both"/>
        <w:rPr>
          <w:rFonts w:ascii="Times New Roman" w:eastAsiaTheme="minorHAnsi" w:hAnsi="Times New Roman" w:cs="Times New Roman"/>
          <w:sz w:val="24"/>
          <w:szCs w:val="24"/>
          <w:lang w:eastAsia="en-US"/>
        </w:rPr>
      </w:pPr>
      <w:r>
        <w:rPr>
          <w:rFonts w:ascii="Times New Roman" w:eastAsia="Times New Roman" w:hAnsi="Times New Roman" w:cs="Times New Roman"/>
          <w:sz w:val="24"/>
          <w:szCs w:val="24"/>
        </w:rPr>
        <w:t xml:space="preserve">В рамках подпрограммы 2 «Обеспечение долговой устойчивости бюджета ЗАТО Северск» реализовывалась задача подпрограммы - </w:t>
      </w:r>
      <w:r>
        <w:rPr>
          <w:rFonts w:ascii="Times New Roman" w:eastAsiaTheme="minorHAnsi" w:hAnsi="Times New Roman" w:cs="Times New Roman"/>
          <w:sz w:val="24"/>
          <w:szCs w:val="24"/>
          <w:lang w:eastAsia="en-US"/>
        </w:rPr>
        <w:t>эффективное управление муниципальным долгом ЗАТО Северск.</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Результативность достижения целевых показателей подпрограммы высокая. Значения целевых показателей (индикаторов) результативности подпрограммы указаны </w:t>
      </w:r>
      <w:r>
        <w:rPr>
          <w:rFonts w:ascii="Times New Roman" w:eastAsia="Times New Roman" w:hAnsi="Times New Roman" w:cs="Times New Roman"/>
          <w:sz w:val="24"/>
          <w:szCs w:val="24"/>
        </w:rPr>
        <w:br/>
        <w:t xml:space="preserve">в </w:t>
      </w:r>
      <w:r>
        <w:rPr>
          <w:rFonts w:ascii="Times New Roman" w:eastAsia="Times New Roman" w:hAnsi="Times New Roman" w:cs="Times New Roman"/>
          <w:sz w:val="24"/>
          <w:szCs w:val="24"/>
          <w:shd w:val="clear" w:color="auto" w:fill="FFFFFF"/>
        </w:rPr>
        <w:t>приложении 7.</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Фактические расходы на выполнение мероприятий подпрограммы соответствуют плановым и составили 28 556,8 тыс. руб. Освоение средств – 99,9 %. </w:t>
      </w:r>
    </w:p>
    <w:p>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Мероприятия проводились в рамках КПМ «Эффективное управление муниципальным долгом ЗАТО Северск».</w:t>
      </w:r>
    </w:p>
    <w:p>
      <w:pPr>
        <w:spacing w:after="0" w:line="240" w:lineRule="auto"/>
        <w:jc w:val="both"/>
        <w:rPr>
          <w:rFonts w:ascii="Times New Roman" w:eastAsia="Times New Roman" w:hAnsi="Times New Roman" w:cs="Times New Roman"/>
          <w:sz w:val="24"/>
          <w:szCs w:val="24"/>
        </w:rPr>
      </w:pP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рамках обеспечивающей подпрограммы осуществлялось финансирование деятельности Финансового управления Администрации ЗАТО Северск.</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Плановый объем бюджетных ассигнований обеспечивающей подпрограммы составлял 34 020,54 тыс. руб. Фактическое освоение составило 33 623,37 тыс.  руб. (98,8%).</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Незначительное </w:t>
      </w:r>
      <w:proofErr w:type="spellStart"/>
      <w:r>
        <w:rPr>
          <w:rFonts w:ascii="Times New Roman" w:eastAsia="Times New Roman" w:hAnsi="Times New Roman" w:cs="Times New Roman"/>
          <w:sz w:val="24"/>
          <w:szCs w:val="24"/>
        </w:rPr>
        <w:t>недоосвоение</w:t>
      </w:r>
      <w:proofErr w:type="spellEnd"/>
      <w:r>
        <w:rPr>
          <w:rFonts w:ascii="Times New Roman" w:eastAsia="Times New Roman" w:hAnsi="Times New Roman" w:cs="Times New Roman"/>
          <w:sz w:val="24"/>
          <w:szCs w:val="24"/>
        </w:rPr>
        <w:t xml:space="preserve"> средств возникло в результате экономии при применении конкурентных способов определения поставщиков.</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Значения целевых показателей (индикаторов) результативности обеспечивающей подпрограммы указаны в приложении 2.</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эффективности Программы определена в соответствии с постановлением Администрации ЗАТО Северск от 16.04.2015 № 707 «Об утверждении Порядка проведения оценки эффективности реализации муниципальных программ ЗАТО Северск» путем сопоставления:</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фактических и плановых значений целевых показателей (индикаторов) результативности Программы (приложение 1);</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сведения о достижении целевых значений подпрограмм (приложения 2, 6, 7);</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фактических и плановых объемов финансирования за счет всех источников финансирования на реализацию Программы (приложение 5);</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оценка эффективности средств Программы (приложение 4).</w:t>
      </w:r>
    </w:p>
    <w:p>
      <w:pPr>
        <w:spacing w:after="0" w:line="240" w:lineRule="auto"/>
        <w:ind w:firstLine="709"/>
        <w:jc w:val="both"/>
        <w:rPr>
          <w:rFonts w:ascii="Times New Roman" w:eastAsia="Times New Roman" w:hAnsi="Times New Roman" w:cs="Times New Roman"/>
          <w:sz w:val="24"/>
          <w:szCs w:val="24"/>
        </w:rPr>
      </w:pP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достижения цели подпрограммы 1 равна 0,91, степень освоения средств - 1.</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Снижение степени достижения целей и решения задач программы за отчетный период произошло за счет отклонения по показателям:</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минимальный объем охваченных контрольными мероприятиями средств бюджета ЗАТО Северск в общем объеме бюджетных ассигнований, являющихся объектом муниципального финансового контроля. По данному показателю предусмотрены проверки управлением Федерального казначейства (далее – УФК). В 2024 году проверки УФК </w:t>
      </w:r>
      <w:r>
        <w:rPr>
          <w:rFonts w:ascii="Times New Roman" w:eastAsia="Times New Roman" w:hAnsi="Times New Roman" w:cs="Times New Roman"/>
          <w:sz w:val="24"/>
          <w:szCs w:val="24"/>
        </w:rPr>
        <w:br/>
        <w:t>не проводились.</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доля главных администраторов средств бюджета ЗАТО Северск, показавших положительную динамику оценки качества финансового менеджмента. По данному показателю произошло уменьшение количества главных администраторов средств бюджета ЗАТО Северск, показавших положительную динамику оценки качества финансового менеджмента.</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достижения цели подпрограммы 2 равна 1, степень освоения средств – 1.</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достижения цели подпрограммы 3 равна 0,92, степень освоения средств – 0,99.</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Снижение степени достижения целей и решения задач подпрограммы 3 произошло </w:t>
      </w:r>
      <w:r>
        <w:rPr>
          <w:rFonts w:ascii="Times New Roman" w:eastAsia="Times New Roman" w:hAnsi="Times New Roman" w:cs="Times New Roman"/>
          <w:sz w:val="24"/>
          <w:szCs w:val="24"/>
        </w:rPr>
        <w:br/>
        <w:t>за счет отклонения по показателю</w:t>
      </w:r>
      <w:r>
        <w:t xml:space="preserve"> «</w:t>
      </w:r>
      <w:r>
        <w:rPr>
          <w:rFonts w:ascii="Times New Roman" w:eastAsia="Times New Roman" w:hAnsi="Times New Roman" w:cs="Times New Roman"/>
          <w:sz w:val="24"/>
          <w:szCs w:val="24"/>
        </w:rPr>
        <w:t xml:space="preserve">Обеспечение устранения выявленных финансовых нарушений». Показатель определен по информации, представленной Комитетом внутреннего муниципального финансового контроля и контроля в сфере закупок Администрации ЗАТО Северск. Снижение связано с неисполнением в полном объеме муниципальными </w:t>
      </w:r>
      <w:r>
        <w:rPr>
          <w:rFonts w:ascii="Times New Roman" w:eastAsia="Times New Roman" w:hAnsi="Times New Roman" w:cs="Times New Roman"/>
          <w:sz w:val="24"/>
          <w:szCs w:val="24"/>
        </w:rPr>
        <w:lastRenderedPageBreak/>
        <w:t xml:space="preserve">учреждениями представлений об устранении выявленных финансовых нарушений </w:t>
      </w:r>
      <w:r>
        <w:rPr>
          <w:rFonts w:ascii="Times New Roman" w:eastAsia="Times New Roman" w:hAnsi="Times New Roman" w:cs="Times New Roman"/>
          <w:sz w:val="24"/>
          <w:szCs w:val="24"/>
        </w:rPr>
        <w:br/>
        <w:t xml:space="preserve">по результатам проверок Комитетом внутреннего муниципального финансового контроля </w:t>
      </w:r>
      <w:r>
        <w:rPr>
          <w:rFonts w:ascii="Times New Roman" w:eastAsia="Times New Roman" w:hAnsi="Times New Roman" w:cs="Times New Roman"/>
          <w:sz w:val="24"/>
          <w:szCs w:val="24"/>
        </w:rPr>
        <w:br/>
        <w:t>и контроля в сфере закупок Администрации ЗАТО Северск.</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освоения средств Программы высокая и равна 0,99.</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Степень достижения цели Программы, рассчитанная в соответствии с вышеуказанной методикой равна 0,91.</w:t>
      </w:r>
    </w:p>
    <w:p>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Проведенный анализ эффективности реализации Программы за 2024 год показал, что по шкале оценки эффективности достигнут самый высокий уровень (оценка 5 – высокая эффективность). </w:t>
      </w:r>
    </w:p>
    <w:p>
      <w:pPr>
        <w:tabs>
          <w:tab w:val="left" w:pos="709"/>
        </w:tabs>
        <w:spacing w:after="0" w:line="240" w:lineRule="auto"/>
        <w:ind w:firstLine="709"/>
        <w:jc w:val="both"/>
        <w:rPr>
          <w:rFonts w:ascii="Times New Roman" w:hAnsi="Times New Roman" w:cs="Times New Roman"/>
          <w:sz w:val="24"/>
          <w:szCs w:val="24"/>
        </w:rPr>
      </w:pPr>
      <w:bookmarkStart w:id="2" w:name="_GoBack"/>
      <w:bookmarkEnd w:id="2"/>
    </w:p>
    <w:p>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Основных мероприятий программой не предусмотрено.</w:t>
      </w:r>
    </w:p>
    <w:p>
      <w:pPr>
        <w:tabs>
          <w:tab w:val="left" w:pos="709"/>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Предложения о привлечении дополнительных источников финансирования или иных способах достижения программных целей отсутствуют.</w:t>
      </w:r>
    </w:p>
    <w:p>
      <w:pPr>
        <w:tabs>
          <w:tab w:val="left" w:pos="709"/>
        </w:tabs>
        <w:spacing w:after="0" w:line="240" w:lineRule="auto"/>
        <w:jc w:val="both"/>
        <w:rPr>
          <w:rFonts w:ascii="Times New Roman" w:hAnsi="Times New Roman" w:cs="Times New Roman"/>
          <w:sz w:val="24"/>
          <w:szCs w:val="24"/>
        </w:rPr>
      </w:pPr>
    </w:p>
    <w:p>
      <w:pPr>
        <w:tabs>
          <w:tab w:val="left" w:pos="709"/>
        </w:tabs>
        <w:spacing w:after="0" w:line="240" w:lineRule="auto"/>
        <w:jc w:val="both"/>
        <w:rPr>
          <w:rFonts w:ascii="Times New Roman" w:hAnsi="Times New Roman" w:cs="Times New Roman"/>
          <w:sz w:val="24"/>
          <w:szCs w:val="24"/>
        </w:rPr>
      </w:pPr>
    </w:p>
    <w:p>
      <w:pPr>
        <w:tabs>
          <w:tab w:val="left" w:pos="709"/>
        </w:tabs>
        <w:spacing w:after="0" w:line="240" w:lineRule="auto"/>
        <w:jc w:val="both"/>
        <w:rPr>
          <w:rFonts w:ascii="Times New Roman" w:hAnsi="Times New Roman" w:cs="Times New Roman"/>
          <w:sz w:val="24"/>
          <w:szCs w:val="24"/>
        </w:rPr>
      </w:pPr>
    </w:p>
    <w:p/>
    <w:sectPr>
      <w:footerReference w:type="default" r:id="rI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Внутренний номер: 343300</w:t>
    </w:r>
  </w:p>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A6C2B"/>
    <w:multiLevelType w:val="hybridMultilevel"/>
    <w:tmpl w:val="7144AC1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56CF03C3"/>
    <w:multiLevelType w:val="hybridMultilevel"/>
    <w:tmpl w:val="7898F318"/>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72A87529"/>
    <w:multiLevelType w:val="hybridMultilevel"/>
    <w:tmpl w:val="8F3EA7D2"/>
    <w:lvl w:ilvl="0" w:tplc="F6F01F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B14F1B-8971-4B81-A9AB-7EE613DC9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table" w:styleId="a4">
    <w:name w:val="Table Grid"/>
    <w:basedOn w:val="a1"/>
    <w:uiPriority w:val="5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pPr>
      <w:tabs>
        <w:tab w:val="center" w:pos="4677"/>
        <w:tab w:val="right" w:pos="9355"/>
      </w:tabs>
      <w:spacing w:after="0" w:line="240" w:lineRule="auto"/>
    </w:pPr>
  </w:style>
  <w:style w:type="character" w:customStyle="1" w:styleId="a6">
    <w:name w:val="Верхний колонтитул Знак"/>
    <w:basedOn w:val="a0"/>
    <w:link w:val="a5"/>
    <w:uiPriority w:val="99"/>
    <w:rPr>
      <w:rFonts w:eastAsiaTheme="minorEastAsia"/>
      <w:lang w:eastAsia="ru-RU"/>
    </w:rPr>
  </w:style>
  <w:style w:type="paragraph" w:styleId="a7">
    <w:name w:val="footer"/>
    <w:basedOn w:val="a"/>
    <w:link w:val="a8"/>
    <w:uiPriority w:val="99"/>
    <w:unhideWhenUsed/>
    <w:pPr>
      <w:tabs>
        <w:tab w:val="center" w:pos="4677"/>
        <w:tab w:val="right" w:pos="9355"/>
      </w:tabs>
      <w:spacing w:after="0" w:line="240" w:lineRule="auto"/>
    </w:pPr>
  </w:style>
  <w:style w:type="character" w:customStyle="1" w:styleId="a8">
    <w:name w:val="Нижний колонтитул Знак"/>
    <w:basedOn w:val="a0"/>
    <w:link w:val="a7"/>
    <w:uiPriority w:val="99"/>
    <w:rPr>
      <w:rFonts w:eastAsiaTheme="minorEastAsia"/>
      <w:lang w:eastAsia="ru-RU"/>
    </w:rPr>
  </w:style>
  <w:style w:type="paragraph" w:styleId="a9">
    <w:name w:val="Balloon Text"/>
    <w:basedOn w:val="a"/>
    <w:link w:val="aa"/>
    <w:uiPriority w:val="99"/>
    <w:semiHidden/>
    <w:unhideWhenUse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1039</Words>
  <Characters>5927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Прокофьева</dc:creator>
  <cp:keywords/>
  <dc:description/>
  <cp:lastModifiedBy>Ткачева Т.Н.</cp:lastModifiedBy>
  <cp:revision>9</cp:revision>
  <cp:lastPrinted>2025-02-26T10:41:00Z</cp:lastPrinted>
  <dcterms:created xsi:type="dcterms:W3CDTF">2025-02-26T05:03:00Z</dcterms:created>
  <dcterms:modified xsi:type="dcterms:W3CDTF">2025-02-26T11:30:00Z</dcterms:modified>
</cp:coreProperties>
</file>